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3A1" w:rsidRPr="00752C7F" w:rsidRDefault="00C623A1" w:rsidP="00C623A1">
      <w:pPr>
        <w:numPr>
          <w:ilvl w:val="12"/>
          <w:numId w:val="0"/>
        </w:numPr>
        <w:spacing w:line="240" w:lineRule="atLeast"/>
        <w:ind w:right="-7"/>
        <w:rPr>
          <w:rFonts w:asciiTheme="minorHAnsi" w:hAnsiTheme="minorHAnsi" w:cstheme="minorHAnsi"/>
          <w:color w:val="000000" w:themeColor="text1"/>
          <w:szCs w:val="20"/>
          <w:lang w:val="en-US"/>
        </w:rPr>
      </w:pPr>
    </w:p>
    <w:p w:rsidR="00C623A1" w:rsidRPr="00752C7F" w:rsidRDefault="00C623A1" w:rsidP="00C623A1">
      <w:pPr>
        <w:numPr>
          <w:ilvl w:val="12"/>
          <w:numId w:val="0"/>
        </w:numPr>
        <w:spacing w:line="240" w:lineRule="atLeast"/>
        <w:ind w:right="-7"/>
        <w:rPr>
          <w:rFonts w:asciiTheme="minorHAnsi" w:hAnsiTheme="minorHAnsi" w:cstheme="minorHAnsi"/>
          <w:color w:val="000000" w:themeColor="text1"/>
          <w:szCs w:val="20"/>
          <w:lang w:val="en-US"/>
        </w:rPr>
      </w:pPr>
    </w:p>
    <w:p w:rsidR="00C623A1" w:rsidRPr="00752C7F" w:rsidRDefault="00C623A1" w:rsidP="00C623A1">
      <w:pPr>
        <w:pStyle w:val="TITRE"/>
        <w:numPr>
          <w:ilvl w:val="12"/>
          <w:numId w:val="0"/>
        </w:numPr>
        <w:pBdr>
          <w:top w:val="none" w:sz="0" w:space="0" w:color="auto"/>
          <w:left w:val="none" w:sz="0" w:space="0" w:color="auto"/>
          <w:bottom w:val="none" w:sz="0" w:space="0" w:color="auto"/>
          <w:right w:val="none" w:sz="0" w:space="0" w:color="auto"/>
        </w:pBdr>
        <w:ind w:right="701"/>
        <w:rPr>
          <w:rFonts w:asciiTheme="minorHAnsi" w:hAnsiTheme="minorHAnsi" w:cstheme="minorHAnsi"/>
          <w:b w:val="0"/>
          <w:color w:val="000000" w:themeColor="text1"/>
          <w:lang w:val="en-US"/>
        </w:rPr>
      </w:pPr>
    </w:p>
    <w:p w:rsidR="00251D8E" w:rsidRPr="0092131C" w:rsidRDefault="00251D8E" w:rsidP="00251D8E">
      <w:pPr>
        <w:pStyle w:val="Retraitcorpsdetexte2"/>
        <w:pBdr>
          <w:top w:val="none" w:sz="0" w:space="0" w:color="auto"/>
          <w:left w:val="none" w:sz="0" w:space="0" w:color="auto"/>
          <w:bottom w:val="none" w:sz="0" w:space="0" w:color="auto"/>
          <w:right w:val="none" w:sz="0" w:space="0" w:color="auto"/>
        </w:pBdr>
        <w:spacing w:line="240" w:lineRule="auto"/>
        <w:ind w:left="0" w:firstLine="0"/>
        <w:jc w:val="left"/>
        <w:rPr>
          <w:rFonts w:asciiTheme="minorHAnsi" w:eastAsiaTheme="minorHAnsi" w:hAnsiTheme="minorHAnsi" w:cstheme="minorHAnsi"/>
          <w:caps/>
          <w:color w:val="auto"/>
          <w:spacing w:val="-1"/>
          <w:sz w:val="36"/>
          <w:szCs w:val="36"/>
        </w:rPr>
      </w:pPr>
      <w:r w:rsidRPr="0092131C">
        <w:rPr>
          <w:rFonts w:asciiTheme="minorHAnsi" w:eastAsiaTheme="minorHAnsi" w:hAnsiTheme="minorHAnsi" w:cstheme="minorHAnsi"/>
          <w:caps/>
          <w:color w:val="auto"/>
          <w:spacing w:val="-1"/>
          <w:sz w:val="36"/>
          <w:szCs w:val="36"/>
        </w:rPr>
        <w:t>ÉTABLISSEMENT PUBLIC DU MUSÉE D’ORSAY ET DU MUSÉE DE L’ORANGERIE - VALERY GISCARD D’ESTAING</w:t>
      </w:r>
    </w:p>
    <w:p w:rsidR="00251D8E" w:rsidRPr="00875F77" w:rsidRDefault="00251D8E" w:rsidP="00251D8E">
      <w:pPr>
        <w:rPr>
          <w:rFonts w:ascii="Calibri" w:hAnsi="Calibri" w:cs="Calibri"/>
          <w:sz w:val="16"/>
        </w:rPr>
      </w:pPr>
      <w:r w:rsidRPr="00875F77">
        <w:rPr>
          <w:rFonts w:ascii="Calibri" w:hAnsi="Calibri" w:cs="Calibri"/>
          <w:sz w:val="16"/>
        </w:rPr>
        <w:t>Etablissement public national à caractère administratif</w:t>
      </w:r>
    </w:p>
    <w:p w:rsidR="00251D8E" w:rsidRPr="00875F77" w:rsidRDefault="00251D8E" w:rsidP="00251D8E">
      <w:pPr>
        <w:rPr>
          <w:rFonts w:ascii="Calibri" w:hAnsi="Calibri" w:cs="Calibri"/>
          <w:sz w:val="16"/>
        </w:rPr>
      </w:pPr>
      <w:r w:rsidRPr="00875F77">
        <w:rPr>
          <w:rFonts w:ascii="Calibri" w:hAnsi="Calibri" w:cs="Calibri"/>
          <w:sz w:val="16"/>
        </w:rPr>
        <w:t>Créé par le décret n°2003-1300 du 26 décembre 2003 modifié</w:t>
      </w:r>
    </w:p>
    <w:p w:rsidR="00251D8E" w:rsidRPr="00875F77" w:rsidRDefault="00251D8E" w:rsidP="00251D8E">
      <w:pPr>
        <w:rPr>
          <w:rFonts w:ascii="Calibri" w:hAnsi="Calibri" w:cs="Calibri"/>
          <w:sz w:val="16"/>
        </w:rPr>
      </w:pPr>
      <w:r w:rsidRPr="00875F77">
        <w:rPr>
          <w:rFonts w:ascii="Calibri" w:hAnsi="Calibri" w:cs="Calibri"/>
          <w:sz w:val="16"/>
        </w:rPr>
        <w:t>Numéro SIREN 180 092 447 000 10 Code APE 925 C</w:t>
      </w:r>
    </w:p>
    <w:p w:rsidR="00251D8E" w:rsidRDefault="00251D8E" w:rsidP="00251D8E">
      <w:pPr>
        <w:pStyle w:val="Retraitcorpsdetexte2"/>
        <w:pBdr>
          <w:top w:val="none" w:sz="0" w:space="0" w:color="auto"/>
          <w:left w:val="none" w:sz="0" w:space="0" w:color="auto"/>
          <w:bottom w:val="none" w:sz="0" w:space="0" w:color="auto"/>
          <w:right w:val="none" w:sz="0" w:space="0" w:color="auto"/>
        </w:pBdr>
        <w:spacing w:line="240" w:lineRule="auto"/>
        <w:ind w:left="0" w:firstLine="0"/>
        <w:jc w:val="left"/>
        <w:rPr>
          <w:rFonts w:asciiTheme="minorHAnsi" w:eastAsiaTheme="minorHAnsi" w:hAnsiTheme="minorHAnsi" w:cstheme="minorHAnsi"/>
          <w:caps/>
          <w:color w:val="auto"/>
          <w:spacing w:val="-1"/>
          <w:sz w:val="36"/>
          <w:szCs w:val="36"/>
        </w:rPr>
      </w:pPr>
    </w:p>
    <w:p w:rsidR="00251D8E" w:rsidRPr="002C30C2" w:rsidRDefault="00251D8E" w:rsidP="00251D8E">
      <w:pPr>
        <w:pStyle w:val="Retraitcorpsdetexte2"/>
        <w:pBdr>
          <w:top w:val="none" w:sz="0" w:space="0" w:color="auto"/>
          <w:left w:val="none" w:sz="0" w:space="0" w:color="auto"/>
          <w:bottom w:val="none" w:sz="0" w:space="0" w:color="auto"/>
          <w:right w:val="none" w:sz="0" w:space="0" w:color="auto"/>
        </w:pBdr>
        <w:spacing w:line="240" w:lineRule="auto"/>
        <w:ind w:left="0" w:firstLine="0"/>
        <w:jc w:val="left"/>
        <w:rPr>
          <w:rFonts w:asciiTheme="minorHAnsi" w:eastAsiaTheme="minorHAnsi" w:hAnsiTheme="minorHAnsi" w:cstheme="minorHAnsi"/>
          <w:caps/>
          <w:color w:val="auto"/>
          <w:spacing w:val="-1"/>
          <w:sz w:val="36"/>
          <w:szCs w:val="36"/>
        </w:rPr>
      </w:pPr>
      <w:r>
        <w:rPr>
          <w:rFonts w:asciiTheme="minorHAnsi" w:eastAsiaTheme="minorHAnsi" w:hAnsiTheme="minorHAnsi" w:cstheme="minorHAnsi"/>
          <w:caps/>
          <w:color w:val="auto"/>
          <w:spacing w:val="-1"/>
          <w:sz w:val="36"/>
          <w:szCs w:val="36"/>
        </w:rPr>
        <w:t>marche public de travaU</w:t>
      </w:r>
      <w:r w:rsidRPr="00342A10">
        <w:rPr>
          <w:rFonts w:asciiTheme="minorHAnsi" w:eastAsiaTheme="minorHAnsi" w:hAnsiTheme="minorHAnsi" w:cstheme="minorHAnsi"/>
          <w:caps/>
          <w:color w:val="auto"/>
          <w:spacing w:val="-1"/>
          <w:sz w:val="36"/>
          <w:szCs w:val="36"/>
        </w:rPr>
        <w:t>x</w:t>
      </w:r>
    </w:p>
    <w:p w:rsidR="00251D8E" w:rsidRDefault="00251D8E" w:rsidP="00251D8E">
      <w:pPr>
        <w:pStyle w:val="TITREDOCUMENT"/>
        <w:rPr>
          <w:rFonts w:cstheme="minorHAnsi"/>
          <w:sz w:val="28"/>
          <w:szCs w:val="28"/>
        </w:rPr>
      </w:pPr>
    </w:p>
    <w:p w:rsidR="00251D8E" w:rsidRDefault="00251D8E" w:rsidP="00251D8E">
      <w:pPr>
        <w:pStyle w:val="TITREDOCUMENT"/>
        <w:rPr>
          <w:rFonts w:cstheme="minorHAnsi"/>
          <w:sz w:val="28"/>
          <w:szCs w:val="28"/>
        </w:rPr>
      </w:pPr>
      <w:r w:rsidRPr="00B52810">
        <w:rPr>
          <w:rFonts w:cstheme="minorHAnsi"/>
          <w:sz w:val="28"/>
          <w:szCs w:val="28"/>
        </w:rPr>
        <w:t xml:space="preserve">OPERATION : TRAVAUX DE </w:t>
      </w:r>
      <w:r>
        <w:rPr>
          <w:rFonts w:cstheme="minorHAnsi"/>
          <w:sz w:val="28"/>
          <w:szCs w:val="28"/>
        </w:rPr>
        <w:t>REFONTE DE L’ACC</w:t>
      </w:r>
      <w:r w:rsidRPr="00B52810">
        <w:rPr>
          <w:rFonts w:cstheme="minorHAnsi"/>
          <w:sz w:val="28"/>
          <w:szCs w:val="28"/>
        </w:rPr>
        <w:t>U</w:t>
      </w:r>
      <w:r>
        <w:rPr>
          <w:rFonts w:cstheme="minorHAnsi"/>
          <w:sz w:val="28"/>
          <w:szCs w:val="28"/>
        </w:rPr>
        <w:t>E</w:t>
      </w:r>
      <w:r w:rsidRPr="00B52810">
        <w:rPr>
          <w:rFonts w:cstheme="minorHAnsi"/>
          <w:sz w:val="28"/>
          <w:szCs w:val="28"/>
        </w:rPr>
        <w:t xml:space="preserve">IL DU MUSEE D’ORSAY </w:t>
      </w:r>
    </w:p>
    <w:p w:rsidR="00251D8E" w:rsidRPr="00B52810" w:rsidRDefault="00251D8E" w:rsidP="00251D8E">
      <w:pPr>
        <w:pStyle w:val="ATextecourant"/>
      </w:pPr>
    </w:p>
    <w:tbl>
      <w:tblPr>
        <w:tblStyle w:val="Grilledutableau"/>
        <w:tblW w:w="10523" w:type="dxa"/>
        <w:tblBorders>
          <w:top w:val="single" w:sz="2" w:space="0" w:color="000000" w:themeColor="text1"/>
          <w:left w:val="none" w:sz="0" w:space="0" w:color="auto"/>
          <w:bottom w:val="single" w:sz="2" w:space="0" w:color="000000" w:themeColor="text1"/>
          <w:right w:val="none" w:sz="0" w:space="0" w:color="auto"/>
          <w:insideH w:val="single" w:sz="2" w:space="0" w:color="000000" w:themeColor="text1"/>
          <w:insideV w:val="single" w:sz="2" w:space="0" w:color="000000" w:themeColor="text1"/>
        </w:tblBorders>
        <w:tblCellMar>
          <w:top w:w="142" w:type="dxa"/>
          <w:left w:w="0" w:type="dxa"/>
          <w:bottom w:w="142" w:type="dxa"/>
          <w:right w:w="142" w:type="dxa"/>
        </w:tblCellMar>
        <w:tblLook w:val="04A0" w:firstRow="1" w:lastRow="0" w:firstColumn="1" w:lastColumn="0" w:noHBand="0" w:noVBand="1"/>
      </w:tblPr>
      <w:tblGrid>
        <w:gridCol w:w="10523"/>
      </w:tblGrid>
      <w:tr w:rsidR="00251D8E" w:rsidRPr="00B52810" w:rsidTr="006D14CA">
        <w:tc>
          <w:tcPr>
            <w:tcW w:w="10523" w:type="dxa"/>
            <w:tcBorders>
              <w:top w:val="single" w:sz="4" w:space="0" w:color="auto"/>
              <w:bottom w:val="nil"/>
            </w:tcBorders>
            <w:shd w:val="clear" w:color="auto" w:fill="auto"/>
          </w:tcPr>
          <w:p w:rsidR="00251D8E" w:rsidRPr="00B52810" w:rsidRDefault="00251D8E" w:rsidP="006D14CA">
            <w:pPr>
              <w:pStyle w:val="TITREDOCUMENT"/>
              <w:rPr>
                <w:rFonts w:ascii="Calibri" w:hAnsi="Calibri" w:cs="Calibri"/>
                <w:color w:val="ED7D31" w:themeColor="accent2"/>
                <w:sz w:val="28"/>
                <w:szCs w:val="28"/>
              </w:rPr>
            </w:pPr>
          </w:p>
          <w:p w:rsidR="00251D8E" w:rsidRDefault="00530965" w:rsidP="006D14CA">
            <w:pPr>
              <w:pStyle w:val="TITREDOCUMENT"/>
              <w:rPr>
                <w:rFonts w:ascii="Calibri" w:hAnsi="Calibri" w:cs="Calibri"/>
                <w:color w:val="C45911" w:themeColor="accent2" w:themeShade="BF"/>
                <w:sz w:val="28"/>
                <w:szCs w:val="28"/>
              </w:rPr>
            </w:pPr>
            <w:r>
              <w:rPr>
                <w:rFonts w:cstheme="minorHAnsi"/>
                <w:color w:val="C45911" w:themeColor="accent2" w:themeShade="BF"/>
                <w:sz w:val="28"/>
                <w:szCs w:val="28"/>
              </w:rPr>
              <w:t>CC</w:t>
            </w:r>
            <w:bookmarkStart w:id="0" w:name="_GoBack"/>
            <w:bookmarkEnd w:id="0"/>
            <w:r w:rsidR="00251D8E">
              <w:rPr>
                <w:rFonts w:cstheme="minorHAnsi"/>
                <w:color w:val="C45911" w:themeColor="accent2" w:themeShade="BF"/>
                <w:sz w:val="28"/>
                <w:szCs w:val="28"/>
              </w:rPr>
              <w:t>P ANNEXE 4</w:t>
            </w:r>
          </w:p>
          <w:p w:rsidR="00251D8E" w:rsidRPr="00B52810" w:rsidRDefault="00251D8E" w:rsidP="006D14CA">
            <w:pPr>
              <w:pStyle w:val="TITREDOCUMENT"/>
              <w:rPr>
                <w:rFonts w:ascii="Calibri" w:hAnsi="Calibri" w:cs="Calibri"/>
                <w:color w:val="ED7D31" w:themeColor="accent2"/>
                <w:sz w:val="28"/>
                <w:szCs w:val="28"/>
              </w:rPr>
            </w:pPr>
            <w:r>
              <w:rPr>
                <w:rFonts w:ascii="Calibri" w:hAnsi="Calibri" w:cs="Calibri"/>
                <w:color w:val="C45911" w:themeColor="accent2" w:themeShade="BF"/>
                <w:sz w:val="28"/>
                <w:szCs w:val="28"/>
              </w:rPr>
              <w:t>MISSION CONTROLEUR TECHNIQUE</w:t>
            </w:r>
          </w:p>
        </w:tc>
      </w:tr>
    </w:tbl>
    <w:p w:rsidR="00C623A1" w:rsidRPr="00752C7F" w:rsidRDefault="00C623A1" w:rsidP="00C623A1">
      <w:pPr>
        <w:numPr>
          <w:ilvl w:val="12"/>
          <w:numId w:val="0"/>
        </w:numPr>
        <w:spacing w:line="240" w:lineRule="atLeast"/>
        <w:ind w:right="-7"/>
        <w:rPr>
          <w:rFonts w:asciiTheme="minorHAnsi" w:hAnsiTheme="minorHAnsi" w:cstheme="minorHAnsi"/>
          <w:color w:val="000000" w:themeColor="text1"/>
          <w:szCs w:val="20"/>
        </w:rPr>
      </w:pPr>
    </w:p>
    <w:p w:rsidR="00C623A1" w:rsidRPr="00752C7F" w:rsidRDefault="00C623A1" w:rsidP="00C623A1">
      <w:pPr>
        <w:numPr>
          <w:ilvl w:val="12"/>
          <w:numId w:val="0"/>
        </w:numPr>
        <w:spacing w:line="240" w:lineRule="atLeast"/>
        <w:ind w:right="-7"/>
        <w:rPr>
          <w:rFonts w:asciiTheme="minorHAnsi" w:hAnsiTheme="minorHAnsi" w:cstheme="minorHAnsi"/>
          <w:color w:val="000000" w:themeColor="text1"/>
          <w:szCs w:val="20"/>
        </w:rPr>
      </w:pPr>
    </w:p>
    <w:p w:rsidR="00C623A1" w:rsidRPr="00752C7F" w:rsidRDefault="00C623A1" w:rsidP="00C623A1">
      <w:pPr>
        <w:numPr>
          <w:ilvl w:val="12"/>
          <w:numId w:val="0"/>
        </w:numPr>
        <w:spacing w:line="240" w:lineRule="atLeast"/>
        <w:ind w:right="-7"/>
        <w:rPr>
          <w:rFonts w:asciiTheme="minorHAnsi" w:hAnsiTheme="minorHAnsi" w:cstheme="minorHAnsi"/>
          <w:color w:val="000000" w:themeColor="text1"/>
          <w:szCs w:val="20"/>
        </w:rPr>
      </w:pPr>
    </w:p>
    <w:p w:rsidR="00C623A1" w:rsidRPr="00752C7F" w:rsidRDefault="00C623A1" w:rsidP="00C623A1">
      <w:pPr>
        <w:numPr>
          <w:ilvl w:val="12"/>
          <w:numId w:val="0"/>
        </w:numPr>
        <w:spacing w:line="240" w:lineRule="atLeast"/>
        <w:ind w:right="-7"/>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Default="00C623A1" w:rsidP="00C623A1">
      <w:pPr>
        <w:autoSpaceDE w:val="0"/>
        <w:autoSpaceDN w:val="0"/>
        <w:adjustRightInd w:val="0"/>
        <w:spacing w:after="0"/>
        <w:rPr>
          <w:rFonts w:asciiTheme="minorHAnsi" w:hAnsiTheme="minorHAnsi" w:cstheme="minorHAnsi"/>
          <w:color w:val="000000" w:themeColor="text1"/>
          <w:szCs w:val="20"/>
        </w:rPr>
      </w:pPr>
    </w:p>
    <w:p w:rsidR="007B7203" w:rsidRDefault="007B7203" w:rsidP="00C623A1">
      <w:pPr>
        <w:autoSpaceDE w:val="0"/>
        <w:autoSpaceDN w:val="0"/>
        <w:adjustRightInd w:val="0"/>
        <w:spacing w:after="0"/>
        <w:rPr>
          <w:rFonts w:asciiTheme="minorHAnsi" w:hAnsiTheme="minorHAnsi" w:cstheme="minorHAnsi"/>
          <w:color w:val="000000" w:themeColor="text1"/>
          <w:szCs w:val="20"/>
        </w:rPr>
      </w:pPr>
    </w:p>
    <w:p w:rsidR="007B7203" w:rsidRDefault="007B7203" w:rsidP="00C623A1">
      <w:pPr>
        <w:autoSpaceDE w:val="0"/>
        <w:autoSpaceDN w:val="0"/>
        <w:adjustRightInd w:val="0"/>
        <w:spacing w:after="0"/>
        <w:rPr>
          <w:rFonts w:asciiTheme="minorHAnsi" w:hAnsiTheme="minorHAnsi" w:cstheme="minorHAnsi"/>
          <w:color w:val="000000" w:themeColor="text1"/>
          <w:szCs w:val="20"/>
        </w:rPr>
      </w:pPr>
    </w:p>
    <w:p w:rsidR="007B7203" w:rsidRPr="00752C7F" w:rsidRDefault="007B7203" w:rsidP="00C623A1">
      <w:pPr>
        <w:autoSpaceDE w:val="0"/>
        <w:autoSpaceDN w:val="0"/>
        <w:adjustRightInd w:val="0"/>
        <w:spacing w:after="0"/>
        <w:rPr>
          <w:rFonts w:asciiTheme="minorHAnsi" w:eastAsia="Times New Roman" w:hAnsiTheme="minorHAnsi" w:cstheme="minorHAnsi"/>
          <w:color w:val="000000" w:themeColor="text1"/>
          <w:szCs w:val="20"/>
          <w:lang w:eastAsia="fr-FR"/>
        </w:rPr>
      </w:pPr>
    </w:p>
    <w:p w:rsidR="00C623A1" w:rsidRPr="00752C7F" w:rsidRDefault="00C623A1" w:rsidP="00C623A1">
      <w:pPr>
        <w:autoSpaceDE w:val="0"/>
        <w:autoSpaceDN w:val="0"/>
        <w:adjustRightInd w:val="0"/>
        <w:spacing w:after="0"/>
        <w:rPr>
          <w:rFonts w:asciiTheme="minorHAnsi" w:eastAsia="Times New Roman" w:hAnsiTheme="minorHAnsi" w:cstheme="minorHAnsi"/>
          <w:color w:val="000000" w:themeColor="text1"/>
          <w:szCs w:val="20"/>
          <w:lang w:eastAsia="fr-FR"/>
        </w:rPr>
      </w:pPr>
    </w:p>
    <w:p w:rsidR="00C623A1" w:rsidRPr="00752C7F" w:rsidRDefault="00C623A1" w:rsidP="00C623A1">
      <w:pPr>
        <w:autoSpaceDE w:val="0"/>
        <w:autoSpaceDN w:val="0"/>
        <w:adjustRightInd w:val="0"/>
        <w:spacing w:after="0"/>
        <w:rPr>
          <w:rFonts w:asciiTheme="minorHAnsi" w:eastAsia="Times New Roman" w:hAnsiTheme="minorHAnsi" w:cstheme="minorHAnsi"/>
          <w:color w:val="000000" w:themeColor="text1"/>
          <w:szCs w:val="20"/>
          <w:lang w:eastAsia="fr-FR"/>
        </w:rPr>
      </w:pPr>
    </w:p>
    <w:p w:rsidR="00C061B2" w:rsidRPr="00752C7F" w:rsidRDefault="00C061B2" w:rsidP="00C061B2">
      <w:pPr>
        <w:rPr>
          <w:b/>
          <w:bCs/>
          <w:color w:val="000000" w:themeColor="text1"/>
        </w:rPr>
      </w:pPr>
      <w:r w:rsidRPr="00752C7F">
        <w:rPr>
          <w:b/>
          <w:bCs/>
          <w:color w:val="000000" w:themeColor="text1"/>
        </w:rPr>
        <w:lastRenderedPageBreak/>
        <w:t>Le contrôle technique n’a pas pour mission de proposer des solutions, mais doit donner des avis explicites et clairs sur les solutions envisagées. Outre les avis formulés tout au long de l’avancement du projet, il doit contractuellement fournir des rapports.</w:t>
      </w:r>
    </w:p>
    <w:p w:rsidR="00C061B2" w:rsidRPr="00752C7F" w:rsidRDefault="00C061B2" w:rsidP="00C061B2">
      <w:pPr>
        <w:rPr>
          <w:color w:val="000000" w:themeColor="text1"/>
        </w:rPr>
      </w:pPr>
      <w:r w:rsidRPr="00752C7F">
        <w:rPr>
          <w:color w:val="000000" w:themeColor="text1"/>
        </w:rPr>
        <w:t>Le contrôleur technique (CT) doit exercer des missions obligatoires auxquelles peuvent-être ajoutées des missions complémentaires.</w:t>
      </w:r>
    </w:p>
    <w:p w:rsidR="004B16FB" w:rsidRPr="00752C7F" w:rsidRDefault="004B16FB" w:rsidP="004B16FB">
      <w:pPr>
        <w:pStyle w:val="Titre2"/>
        <w:spacing w:before="0" w:line="259" w:lineRule="auto"/>
        <w:jc w:val="left"/>
        <w:rPr>
          <w:color w:val="000000" w:themeColor="text1"/>
        </w:rPr>
      </w:pPr>
    </w:p>
    <w:p w:rsidR="004B16FB" w:rsidRPr="00752C7F" w:rsidRDefault="004B16FB" w:rsidP="004B16FB">
      <w:pPr>
        <w:pStyle w:val="Style1"/>
        <w:rPr>
          <w:color w:val="000000" w:themeColor="text1"/>
        </w:rPr>
      </w:pPr>
      <w:r w:rsidRPr="00752C7F">
        <w:rPr>
          <w:color w:val="000000" w:themeColor="text1"/>
        </w:rPr>
        <w:t>Les mission</w:t>
      </w:r>
      <w:r w:rsidR="00752C7F">
        <w:rPr>
          <w:color w:val="000000" w:themeColor="text1"/>
        </w:rPr>
        <w:t>s</w:t>
      </w:r>
      <w:r w:rsidRPr="00752C7F">
        <w:rPr>
          <w:color w:val="000000" w:themeColor="text1"/>
        </w:rPr>
        <w:t xml:space="preserve"> du CT</w:t>
      </w:r>
    </w:p>
    <w:p w:rsidR="004B16FB" w:rsidRPr="00752C7F" w:rsidRDefault="004B16FB" w:rsidP="00C061B2">
      <w:pPr>
        <w:rPr>
          <w:color w:val="000000" w:themeColor="text1"/>
        </w:rPr>
      </w:pPr>
    </w:p>
    <w:p w:rsidR="00C061B2" w:rsidRPr="00752C7F" w:rsidRDefault="00C061B2" w:rsidP="00C061B2">
      <w:pPr>
        <w:rPr>
          <w:color w:val="000000" w:themeColor="text1"/>
        </w:rPr>
      </w:pPr>
      <w:r w:rsidRPr="00752C7F">
        <w:rPr>
          <w:b/>
          <w:bCs/>
          <w:color w:val="000000" w:themeColor="text1"/>
          <w:u w:val="single"/>
        </w:rPr>
        <w:t>Les</w:t>
      </w:r>
      <w:r w:rsidRPr="00752C7F">
        <w:rPr>
          <w:color w:val="000000" w:themeColor="text1"/>
          <w:u w:val="single"/>
        </w:rPr>
        <w:t xml:space="preserve"> </w:t>
      </w:r>
      <w:r w:rsidRPr="00752C7F">
        <w:rPr>
          <w:b/>
          <w:bCs/>
          <w:color w:val="000000" w:themeColor="text1"/>
          <w:u w:val="single"/>
        </w:rPr>
        <w:t>missions obligatoires</w:t>
      </w:r>
      <w:r w:rsidRPr="00752C7F">
        <w:rPr>
          <w:color w:val="000000" w:themeColor="text1"/>
        </w:rPr>
        <w:t xml:space="preserve"> assurées par le CT sont :</w:t>
      </w:r>
    </w:p>
    <w:p w:rsidR="00C061B2" w:rsidRPr="00752C7F" w:rsidRDefault="00C061B2" w:rsidP="00C061B2">
      <w:pPr>
        <w:pStyle w:val="Paragraphedeliste"/>
        <w:numPr>
          <w:ilvl w:val="0"/>
          <w:numId w:val="7"/>
        </w:numPr>
        <w:spacing w:after="160" w:line="259" w:lineRule="auto"/>
        <w:rPr>
          <w:color w:val="000000" w:themeColor="text1"/>
        </w:rPr>
      </w:pPr>
      <w:r w:rsidRPr="00752C7F">
        <w:rPr>
          <w:color w:val="000000" w:themeColor="text1"/>
        </w:rPr>
        <w:t>La solidité des ouvrages : missions L</w:t>
      </w:r>
    </w:p>
    <w:p w:rsidR="00C061B2" w:rsidRPr="00752C7F" w:rsidRDefault="00C061B2" w:rsidP="00C061B2">
      <w:pPr>
        <w:pStyle w:val="Paragraphedeliste"/>
        <w:numPr>
          <w:ilvl w:val="0"/>
          <w:numId w:val="7"/>
        </w:numPr>
        <w:spacing w:after="160" w:line="259" w:lineRule="auto"/>
        <w:rPr>
          <w:color w:val="000000" w:themeColor="text1"/>
        </w:rPr>
      </w:pPr>
      <w:r w:rsidRPr="00752C7F">
        <w:rPr>
          <w:color w:val="000000" w:themeColor="text1"/>
        </w:rPr>
        <w:t>La sécurité des personnes : mission S (sécurité incendie, courants forts, gaz, etc.) ;</w:t>
      </w:r>
    </w:p>
    <w:p w:rsidR="00C061B2" w:rsidRPr="00752C7F" w:rsidRDefault="00C061B2" w:rsidP="00C061B2">
      <w:pPr>
        <w:pStyle w:val="Paragraphedeliste"/>
        <w:numPr>
          <w:ilvl w:val="0"/>
          <w:numId w:val="7"/>
        </w:numPr>
        <w:spacing w:after="160" w:line="259" w:lineRule="auto"/>
        <w:rPr>
          <w:color w:val="000000" w:themeColor="text1"/>
        </w:rPr>
      </w:pPr>
      <w:r w:rsidRPr="00752C7F">
        <w:rPr>
          <w:color w:val="000000" w:themeColor="text1"/>
        </w:rPr>
        <w:t xml:space="preserve">L’accessibilité aux personnes handicapés : mission HAND </w:t>
      </w:r>
    </w:p>
    <w:p w:rsidR="00C061B2" w:rsidRPr="00752C7F" w:rsidRDefault="00C061B2" w:rsidP="00C061B2">
      <w:pPr>
        <w:rPr>
          <w:color w:val="000000" w:themeColor="text1"/>
        </w:rPr>
      </w:pPr>
      <w:r w:rsidRPr="00752C7F">
        <w:rPr>
          <w:b/>
          <w:bCs/>
          <w:color w:val="000000" w:themeColor="text1"/>
          <w:u w:val="single"/>
        </w:rPr>
        <w:t>Les missions complémentaires</w:t>
      </w:r>
      <w:r w:rsidRPr="00752C7F">
        <w:rPr>
          <w:color w:val="000000" w:themeColor="text1"/>
        </w:rPr>
        <w:t xml:space="preserve"> aux missions obligatoires :</w:t>
      </w:r>
    </w:p>
    <w:p w:rsidR="00C061B2" w:rsidRPr="00752C7F" w:rsidRDefault="00C061B2" w:rsidP="00C061B2">
      <w:pPr>
        <w:pStyle w:val="Paragraphedeliste"/>
        <w:numPr>
          <w:ilvl w:val="0"/>
          <w:numId w:val="7"/>
        </w:numPr>
        <w:spacing w:after="160" w:line="259" w:lineRule="auto"/>
        <w:rPr>
          <w:rFonts w:ascii="Calibri" w:hAnsi="Calibri" w:cs="Calibri"/>
          <w:color w:val="000000" w:themeColor="text1"/>
        </w:rPr>
      </w:pPr>
      <w:r w:rsidRPr="00752C7F">
        <w:rPr>
          <w:rFonts w:ascii="Calibri" w:hAnsi="Calibri" w:cs="Calibri"/>
          <w:color w:val="000000" w:themeColor="text1"/>
        </w:rPr>
        <w:t>Mission P1 relative à la solidité des éléments d’équipement non indissociablement liés ( cette mission est souvent ajoutée à la mission L)</w:t>
      </w:r>
    </w:p>
    <w:p w:rsidR="00C061B2" w:rsidRPr="00752C7F" w:rsidRDefault="00C061B2" w:rsidP="00C061B2">
      <w:pPr>
        <w:pStyle w:val="Paragraphedeliste"/>
        <w:numPr>
          <w:ilvl w:val="0"/>
          <w:numId w:val="7"/>
        </w:numPr>
        <w:spacing w:after="160" w:line="259" w:lineRule="auto"/>
        <w:rPr>
          <w:rFonts w:ascii="Calibri" w:hAnsi="Calibri" w:cs="Calibri"/>
          <w:color w:val="000000" w:themeColor="text1"/>
        </w:rPr>
      </w:pPr>
      <w:r w:rsidRPr="00752C7F">
        <w:rPr>
          <w:rFonts w:ascii="Calibri" w:hAnsi="Calibri" w:cs="Calibri"/>
          <w:color w:val="000000" w:themeColor="text1"/>
        </w:rPr>
        <w:t>Mission Ph relative à l’isolation acoustique</w:t>
      </w:r>
    </w:p>
    <w:p w:rsidR="00C061B2" w:rsidRPr="00752C7F" w:rsidRDefault="00C061B2" w:rsidP="00C061B2">
      <w:pPr>
        <w:pStyle w:val="Paragraphedeliste"/>
        <w:numPr>
          <w:ilvl w:val="0"/>
          <w:numId w:val="7"/>
        </w:numPr>
        <w:spacing w:after="160" w:line="259" w:lineRule="auto"/>
        <w:rPr>
          <w:rFonts w:ascii="Calibri" w:hAnsi="Calibri" w:cs="Calibri"/>
          <w:color w:val="000000" w:themeColor="text1"/>
        </w:rPr>
      </w:pPr>
      <w:r w:rsidRPr="00752C7F">
        <w:rPr>
          <w:rFonts w:ascii="Calibri" w:hAnsi="Calibri" w:cs="Calibri"/>
          <w:color w:val="000000" w:themeColor="text1"/>
        </w:rPr>
        <w:t>Mission Th relative à l’isolation thermique et aux économies d’énergie</w:t>
      </w:r>
    </w:p>
    <w:p w:rsidR="00C061B2" w:rsidRPr="00752C7F" w:rsidRDefault="00C061B2" w:rsidP="00C061B2">
      <w:pPr>
        <w:pStyle w:val="Paragraphedeliste"/>
        <w:numPr>
          <w:ilvl w:val="0"/>
          <w:numId w:val="7"/>
        </w:numPr>
        <w:spacing w:after="160" w:line="259" w:lineRule="auto"/>
        <w:rPr>
          <w:rFonts w:ascii="Calibri" w:hAnsi="Calibri" w:cs="Calibri"/>
          <w:color w:val="000000" w:themeColor="text1"/>
        </w:rPr>
      </w:pPr>
      <w:r w:rsidRPr="00752C7F">
        <w:rPr>
          <w:rFonts w:ascii="Calibri" w:hAnsi="Calibri" w:cs="Calibri"/>
          <w:color w:val="000000" w:themeColor="text1"/>
        </w:rPr>
        <w:t>Mission LE relative à la solidité des existants ;</w:t>
      </w:r>
    </w:p>
    <w:p w:rsidR="00C41561" w:rsidRPr="00752C7F" w:rsidRDefault="00C41561" w:rsidP="00C061B2">
      <w:pPr>
        <w:pStyle w:val="Paragraphedeliste"/>
        <w:numPr>
          <w:ilvl w:val="0"/>
          <w:numId w:val="7"/>
        </w:numPr>
        <w:spacing w:before="100" w:beforeAutospacing="1" w:after="100" w:afterAutospacing="1"/>
        <w:rPr>
          <w:rFonts w:ascii="Calibri" w:eastAsia="Times New Roman" w:hAnsi="Calibri" w:cs="Calibri"/>
          <w:color w:val="000000" w:themeColor="text1"/>
          <w:lang w:eastAsia="fr-FR"/>
        </w:rPr>
      </w:pPr>
      <w:r w:rsidRPr="00752C7F">
        <w:rPr>
          <w:rFonts w:ascii="Calibri" w:eastAsia="Times New Roman" w:hAnsi="Calibri" w:cs="Calibri"/>
          <w:color w:val="000000" w:themeColor="text1"/>
          <w:lang w:eastAsia="fr-FR"/>
        </w:rPr>
        <w:t>Mission Attestation HAND</w:t>
      </w:r>
    </w:p>
    <w:p w:rsidR="00C061B2" w:rsidRPr="00752C7F" w:rsidRDefault="00C061B2" w:rsidP="00C061B2">
      <w:pPr>
        <w:rPr>
          <w:color w:val="000000" w:themeColor="text1"/>
        </w:rPr>
      </w:pPr>
      <w:r w:rsidRPr="00752C7F">
        <w:rPr>
          <w:color w:val="000000" w:themeColor="text1"/>
        </w:rPr>
        <w:t>La liste officielle de ces missions figure dans la norme NF P 03-100 de septembre 1995. Les bureaux de contrôle proposent aussi d’autres missions ne figurant pas dans la norme comme par exemple l’attestation de fin de chantier, obligatoirement associée à une mission Th</w:t>
      </w:r>
      <w:r w:rsidR="00C41561" w:rsidRPr="00752C7F">
        <w:rPr>
          <w:color w:val="000000" w:themeColor="text1"/>
        </w:rPr>
        <w:t>,</w:t>
      </w:r>
      <w:r w:rsidRPr="00752C7F">
        <w:rPr>
          <w:color w:val="000000" w:themeColor="text1"/>
        </w:rPr>
        <w:t xml:space="preserve"> l’attestation de respect de la règlementation acoustique en habitation</w:t>
      </w:r>
      <w:r w:rsidR="00C41561" w:rsidRPr="00752C7F">
        <w:rPr>
          <w:color w:val="000000" w:themeColor="text1"/>
        </w:rPr>
        <w:t xml:space="preserve"> et l’attestation d’accessibilité handicapé.</w:t>
      </w:r>
      <w:r w:rsidRPr="00752C7F">
        <w:rPr>
          <w:color w:val="000000" w:themeColor="text1"/>
        </w:rPr>
        <w:t xml:space="preserve"> </w:t>
      </w:r>
    </w:p>
    <w:p w:rsidR="00C061B2" w:rsidRPr="00752C7F" w:rsidRDefault="00C061B2" w:rsidP="00C061B2">
      <w:pPr>
        <w:rPr>
          <w:color w:val="000000" w:themeColor="text1"/>
        </w:rPr>
      </w:pPr>
      <w:r w:rsidRPr="00752C7F">
        <w:rPr>
          <w:color w:val="000000" w:themeColor="text1"/>
          <w:u w:val="single"/>
        </w:rPr>
        <w:t>En phase conception</w:t>
      </w:r>
      <w:r w:rsidRPr="00752C7F">
        <w:rPr>
          <w:color w:val="000000" w:themeColor="text1"/>
        </w:rPr>
        <w:t> :</w:t>
      </w:r>
    </w:p>
    <w:p w:rsidR="00C061B2" w:rsidRPr="00752C7F" w:rsidRDefault="00C061B2" w:rsidP="00C061B2">
      <w:pPr>
        <w:rPr>
          <w:color w:val="000000" w:themeColor="text1"/>
        </w:rPr>
      </w:pPr>
      <w:r w:rsidRPr="00752C7F">
        <w:rPr>
          <w:color w:val="000000" w:themeColor="text1"/>
        </w:rPr>
        <w:t>Le CT va notamment examiner les documents de conception suivants :</w:t>
      </w:r>
    </w:p>
    <w:p w:rsidR="00C061B2" w:rsidRPr="00752C7F" w:rsidRDefault="00C061B2" w:rsidP="00C061B2">
      <w:pPr>
        <w:pStyle w:val="Paragraphedeliste"/>
        <w:numPr>
          <w:ilvl w:val="0"/>
          <w:numId w:val="7"/>
        </w:numPr>
        <w:spacing w:after="160" w:line="259" w:lineRule="auto"/>
        <w:rPr>
          <w:color w:val="000000" w:themeColor="text1"/>
        </w:rPr>
      </w:pPr>
      <w:r w:rsidRPr="00752C7F">
        <w:rPr>
          <w:color w:val="000000" w:themeColor="text1"/>
        </w:rPr>
        <w:t>La notice de sécurité prévue par la règlementation relative aux établissements recevant du public ;</w:t>
      </w:r>
    </w:p>
    <w:p w:rsidR="00C061B2" w:rsidRPr="00752C7F" w:rsidRDefault="00C061B2" w:rsidP="00C061B2">
      <w:pPr>
        <w:pStyle w:val="Paragraphedeliste"/>
        <w:numPr>
          <w:ilvl w:val="0"/>
          <w:numId w:val="7"/>
        </w:numPr>
        <w:spacing w:after="160" w:line="259" w:lineRule="auto"/>
        <w:rPr>
          <w:color w:val="000000" w:themeColor="text1"/>
        </w:rPr>
      </w:pPr>
      <w:r w:rsidRPr="00752C7F">
        <w:rPr>
          <w:color w:val="000000" w:themeColor="text1"/>
        </w:rPr>
        <w:t>Les résultats des études de diagnostic pour les opérations de réhabilitation ;</w:t>
      </w:r>
    </w:p>
    <w:p w:rsidR="00C061B2" w:rsidRPr="00752C7F" w:rsidRDefault="00C061B2" w:rsidP="00C061B2">
      <w:pPr>
        <w:pStyle w:val="Paragraphedeliste"/>
        <w:numPr>
          <w:ilvl w:val="0"/>
          <w:numId w:val="7"/>
        </w:numPr>
        <w:spacing w:after="160" w:line="259" w:lineRule="auto"/>
        <w:rPr>
          <w:color w:val="000000" w:themeColor="text1"/>
        </w:rPr>
      </w:pPr>
      <w:r w:rsidRPr="00752C7F">
        <w:rPr>
          <w:color w:val="000000" w:themeColor="text1"/>
        </w:rPr>
        <w:t>Les rapports d’étude de sols ;</w:t>
      </w:r>
    </w:p>
    <w:p w:rsidR="00C061B2" w:rsidRPr="00752C7F" w:rsidRDefault="00C061B2" w:rsidP="00C061B2">
      <w:pPr>
        <w:pStyle w:val="Paragraphedeliste"/>
        <w:numPr>
          <w:ilvl w:val="0"/>
          <w:numId w:val="7"/>
        </w:numPr>
        <w:spacing w:after="160" w:line="259" w:lineRule="auto"/>
        <w:rPr>
          <w:color w:val="000000" w:themeColor="text1"/>
        </w:rPr>
      </w:pPr>
      <w:r w:rsidRPr="00752C7F">
        <w:rPr>
          <w:color w:val="000000" w:themeColor="text1"/>
        </w:rPr>
        <w:t>L’APS et l’APD ;</w:t>
      </w:r>
    </w:p>
    <w:p w:rsidR="00C061B2" w:rsidRPr="00752C7F" w:rsidRDefault="00C061B2" w:rsidP="00C061B2">
      <w:pPr>
        <w:pStyle w:val="Paragraphedeliste"/>
        <w:numPr>
          <w:ilvl w:val="0"/>
          <w:numId w:val="7"/>
        </w:numPr>
        <w:spacing w:after="160" w:line="259" w:lineRule="auto"/>
        <w:rPr>
          <w:color w:val="000000" w:themeColor="text1"/>
        </w:rPr>
      </w:pPr>
      <w:r w:rsidRPr="00752C7F">
        <w:rPr>
          <w:color w:val="000000" w:themeColor="text1"/>
        </w:rPr>
        <w:t>Les documents techniques du projet en vue de l’établissement du rapport initial de CT (RICT).</w:t>
      </w:r>
    </w:p>
    <w:p w:rsidR="00C061B2" w:rsidRPr="00752C7F" w:rsidRDefault="00C061B2" w:rsidP="00C061B2">
      <w:pPr>
        <w:rPr>
          <w:color w:val="000000" w:themeColor="text1"/>
        </w:rPr>
      </w:pPr>
      <w:r w:rsidRPr="00752C7F">
        <w:rPr>
          <w:color w:val="000000" w:themeColor="text1"/>
        </w:rPr>
        <w:t>Le CT va effectuer un examen complet et critique de l’ensemble des disposition</w:t>
      </w:r>
      <w:r w:rsidR="00347605">
        <w:rPr>
          <w:color w:val="000000" w:themeColor="text1"/>
        </w:rPr>
        <w:t>s techniques du projet : plans</w:t>
      </w:r>
      <w:r w:rsidRPr="00752C7F">
        <w:rPr>
          <w:color w:val="000000" w:themeColor="text1"/>
        </w:rPr>
        <w:t xml:space="preserve"> </w:t>
      </w:r>
      <w:r w:rsidR="00C41561" w:rsidRPr="00752C7F">
        <w:rPr>
          <w:color w:val="000000" w:themeColor="text1"/>
        </w:rPr>
        <w:t xml:space="preserve">études, </w:t>
      </w:r>
      <w:r w:rsidRPr="00752C7F">
        <w:rPr>
          <w:color w:val="000000" w:themeColor="text1"/>
        </w:rPr>
        <w:t>note</w:t>
      </w:r>
      <w:r w:rsidR="00C41561" w:rsidRPr="00752C7F">
        <w:rPr>
          <w:color w:val="000000" w:themeColor="text1"/>
        </w:rPr>
        <w:t>s</w:t>
      </w:r>
      <w:r w:rsidRPr="00752C7F">
        <w:rPr>
          <w:color w:val="000000" w:themeColor="text1"/>
        </w:rPr>
        <w:t xml:space="preserve"> calculs…</w:t>
      </w:r>
    </w:p>
    <w:p w:rsidR="00054BDB" w:rsidRPr="00752C7F" w:rsidRDefault="00C061B2" w:rsidP="00054BDB">
      <w:pPr>
        <w:rPr>
          <w:color w:val="000000" w:themeColor="text1"/>
        </w:rPr>
      </w:pPr>
      <w:r w:rsidRPr="00752C7F">
        <w:rPr>
          <w:color w:val="000000" w:themeColor="text1"/>
        </w:rPr>
        <w:t>L’examen critique a lieu avant le début des travaux, il se fait au regard des seules normes critiques. Le CT n’apprécie pas la conformité du projet aux normes juridiques ni sur la consistance du projet, il n’est pas habilité à remanier des plans ni à proposer aucun conseil en termes de conception ou de solution technique. Par contre, dans le cas de réserves, d’avis suspensifs ou de refus du CT</w:t>
      </w:r>
      <w:r w:rsidR="00015A4F" w:rsidRPr="00752C7F">
        <w:rPr>
          <w:color w:val="000000" w:themeColor="text1"/>
        </w:rPr>
        <w:t>, il conviendra au MOA et au MOE</w:t>
      </w:r>
      <w:r w:rsidRPr="00752C7F">
        <w:rPr>
          <w:color w:val="000000" w:themeColor="text1"/>
        </w:rPr>
        <w:t xml:space="preserve"> de se rapprocher de lui pour trouver des solutions techniques lui permettant d’apposer un avis favorable sur l’ensemble des points examinés lors de son contrôle initial.</w:t>
      </w:r>
      <w:r w:rsidR="00054BDB" w:rsidRPr="00752C7F">
        <w:rPr>
          <w:color w:val="000000" w:themeColor="text1"/>
        </w:rPr>
        <w:t xml:space="preserve"> </w:t>
      </w:r>
    </w:p>
    <w:p w:rsidR="00054BDB" w:rsidRPr="00752C7F" w:rsidRDefault="00054BDB" w:rsidP="00054BDB">
      <w:pPr>
        <w:rPr>
          <w:color w:val="000000" w:themeColor="text1"/>
        </w:rPr>
      </w:pPr>
      <w:r w:rsidRPr="00752C7F">
        <w:rPr>
          <w:color w:val="000000" w:themeColor="text1"/>
        </w:rPr>
        <w:t>Le contrôleur technique procède également à une analyse de risques adaptée à chaque opération.</w:t>
      </w:r>
    </w:p>
    <w:p w:rsidR="00C061B2" w:rsidRPr="00752C7F" w:rsidRDefault="00C061B2" w:rsidP="00C41561">
      <w:pPr>
        <w:rPr>
          <w:color w:val="000000" w:themeColor="text1"/>
        </w:rPr>
      </w:pPr>
    </w:p>
    <w:p w:rsidR="00C061B2" w:rsidRPr="00752C7F" w:rsidRDefault="00C061B2" w:rsidP="00C061B2">
      <w:pPr>
        <w:rPr>
          <w:color w:val="000000" w:themeColor="text1"/>
          <w:u w:val="single"/>
        </w:rPr>
      </w:pPr>
      <w:r w:rsidRPr="00752C7F">
        <w:rPr>
          <w:color w:val="000000" w:themeColor="text1"/>
        </w:rPr>
        <w:t xml:space="preserve"> </w:t>
      </w:r>
      <w:r w:rsidRPr="00752C7F">
        <w:rPr>
          <w:color w:val="000000" w:themeColor="text1"/>
          <w:u w:val="single"/>
        </w:rPr>
        <w:t>En phase d’exécution :</w:t>
      </w:r>
    </w:p>
    <w:p w:rsidR="00C061B2" w:rsidRPr="00752C7F" w:rsidRDefault="00C061B2" w:rsidP="00C061B2">
      <w:pPr>
        <w:rPr>
          <w:color w:val="000000" w:themeColor="text1"/>
        </w:rPr>
      </w:pPr>
      <w:r w:rsidRPr="00752C7F">
        <w:rPr>
          <w:color w:val="000000" w:themeColor="text1"/>
        </w:rPr>
        <w:t>Conformément à l’article R.111-14 du CCH, il s'assure notamment que les vérifications techniques qui incombent à chacun des constructeurs énumérés à l'article 1792-1 (1º) du code civil s'effectuent de manière satisfaisante.</w:t>
      </w:r>
    </w:p>
    <w:p w:rsidR="00C061B2" w:rsidRPr="00752C7F" w:rsidRDefault="00C061B2" w:rsidP="00C061B2">
      <w:pPr>
        <w:rPr>
          <w:color w:val="000000" w:themeColor="text1"/>
        </w:rPr>
      </w:pPr>
      <w:r w:rsidRPr="00752C7F">
        <w:rPr>
          <w:color w:val="000000" w:themeColor="text1"/>
        </w:rPr>
        <w:t>Durant cette phase, le CT va notamment vérifier lui-même que les travaux sont réalisés conformément aux plans et dans les règles de l’art. Pour se faire, il contrôle les documents formalisant les vérifications techniques, il procède à des vérifications sur site, et participer à des réunions.</w:t>
      </w:r>
    </w:p>
    <w:p w:rsidR="00C061B2" w:rsidRPr="00752C7F" w:rsidRDefault="00C061B2" w:rsidP="00C061B2">
      <w:pPr>
        <w:rPr>
          <w:rFonts w:cstheme="minorHAnsi"/>
          <w:color w:val="000000" w:themeColor="text1"/>
        </w:rPr>
      </w:pPr>
      <w:r w:rsidRPr="00752C7F">
        <w:rPr>
          <w:color w:val="000000" w:themeColor="text1"/>
        </w:rPr>
        <w:lastRenderedPageBreak/>
        <w:t xml:space="preserve">Il est rappelé en outre que, conformément aux dispositions du CCH transposées et précisées dans le CCAG-travaux (arrêté du 8 septembre 2009 modifié) aux articles 28-2 et 29, le CT se doit de donner un avis sur le programme d’exécution des travaux (PAQ et modes opératoires) ainsi que sur les études </w:t>
      </w:r>
      <w:r w:rsidRPr="00752C7F">
        <w:rPr>
          <w:rFonts w:cstheme="minorHAnsi"/>
          <w:color w:val="000000" w:themeColor="text1"/>
        </w:rPr>
        <w:t>d’exécution (notes de calcul, études de détails etc.)</w:t>
      </w:r>
    </w:p>
    <w:p w:rsidR="00C061B2" w:rsidRPr="00752C7F" w:rsidRDefault="00C061B2" w:rsidP="00C061B2">
      <w:pPr>
        <w:rPr>
          <w:rFonts w:cstheme="minorHAnsi"/>
          <w:color w:val="000000" w:themeColor="text1"/>
        </w:rPr>
      </w:pPr>
      <w:r w:rsidRPr="00752C7F">
        <w:rPr>
          <w:rFonts w:cstheme="minorHAnsi"/>
          <w:color w:val="000000" w:themeColor="text1"/>
        </w:rPr>
        <w:t>La mission du contrôleur technique peut le conduire à s'assurer que la qualité des produits utilisés dans la construction a été normalement surveillée et qu'elle est appropriée au projet ; dans ce but il doit notamment signaler au maître d’ouvrage les essais qu'il estime nécessaires.</w:t>
      </w:r>
    </w:p>
    <w:p w:rsidR="00C061B2" w:rsidRPr="00752C7F" w:rsidRDefault="00C061B2" w:rsidP="00C061B2">
      <w:pPr>
        <w:rPr>
          <w:color w:val="000000" w:themeColor="text1"/>
        </w:rPr>
      </w:pPr>
    </w:p>
    <w:p w:rsidR="00C061B2" w:rsidRPr="00752C7F" w:rsidRDefault="00C061B2" w:rsidP="00C061B2">
      <w:pPr>
        <w:rPr>
          <w:color w:val="000000" w:themeColor="text1"/>
          <w:u w:val="single"/>
        </w:rPr>
      </w:pPr>
      <w:r w:rsidRPr="00752C7F">
        <w:rPr>
          <w:color w:val="000000" w:themeColor="text1"/>
          <w:u w:val="single"/>
        </w:rPr>
        <w:t>En phase d’achèvement :</w:t>
      </w:r>
    </w:p>
    <w:p w:rsidR="00C061B2" w:rsidRPr="00752C7F" w:rsidRDefault="00C061B2" w:rsidP="00C061B2">
      <w:pPr>
        <w:rPr>
          <w:color w:val="000000" w:themeColor="text1"/>
        </w:rPr>
      </w:pPr>
      <w:r w:rsidRPr="00752C7F">
        <w:rPr>
          <w:color w:val="000000" w:themeColor="text1"/>
        </w:rPr>
        <w:t xml:space="preserve">Le CT procède à la vérification finale des travaux exécutés en vue de la réception et peut s'étendre, à la demande du maître de l'ouvrage à la période de garantie de parfait achèvement. Il procède par examen visuel des parties visibles ou accessibles. </w:t>
      </w:r>
      <w:r w:rsidRPr="00752C7F">
        <w:rPr>
          <w:rFonts w:cstheme="minorHAnsi"/>
          <w:color w:val="000000" w:themeColor="text1"/>
        </w:rPr>
        <w:t>A ce titre, il doit réaliser des vérifications finales en vue des opérations préalables à la réception et remettre au MOA un rapport final de contrôle technique (RFCT)</w:t>
      </w:r>
      <w:r w:rsidR="00C41561" w:rsidRPr="00752C7F">
        <w:rPr>
          <w:rFonts w:cstheme="minorHAnsi"/>
          <w:color w:val="000000" w:themeColor="text1"/>
        </w:rPr>
        <w:t xml:space="preserve"> et une attestation de solidité à froid</w:t>
      </w:r>
      <w:r w:rsidRPr="00752C7F">
        <w:rPr>
          <w:rFonts w:cstheme="minorHAnsi"/>
          <w:color w:val="000000" w:themeColor="text1"/>
        </w:rPr>
        <w:t>. Le</w:t>
      </w:r>
      <w:r w:rsidRPr="00752C7F">
        <w:rPr>
          <w:color w:val="000000" w:themeColor="text1"/>
        </w:rPr>
        <w:t xml:space="preserve"> contrôle final est antérieur à la réception mais doit permettre éventuellement le maître de l'ouvrage à faire des réserves. Dans un ouvrage qui est soumis à la règlementation ERP, le CT délivre un rapport de vérifications réglementaires (RVRAT) après travaux qui sera le document faisant foi vis-à-vis de la commission de sécurité</w:t>
      </w:r>
      <w:r w:rsidR="00C41561" w:rsidRPr="00752C7F">
        <w:rPr>
          <w:color w:val="000000" w:themeColor="text1"/>
        </w:rPr>
        <w:t xml:space="preserve"> et une attestation d’accessibilité handicapé</w:t>
      </w:r>
      <w:r w:rsidRPr="00752C7F">
        <w:rPr>
          <w:color w:val="000000" w:themeColor="text1"/>
        </w:rPr>
        <w:t>.</w:t>
      </w:r>
    </w:p>
    <w:p w:rsidR="00C061B2" w:rsidRPr="00752C7F" w:rsidRDefault="00C061B2" w:rsidP="00C061B2">
      <w:pPr>
        <w:rPr>
          <w:color w:val="000000" w:themeColor="text1"/>
        </w:rPr>
      </w:pPr>
      <w:r w:rsidRPr="00752C7F">
        <w:rPr>
          <w:color w:val="000000" w:themeColor="text1"/>
        </w:rPr>
        <w:t>Le marché peut prévoir, et cela est fortement recommandé, que le CT apporte son assistance à la visite de la commission de sécurité. De même, il peut apporter une assistance pendant la période de garantie de parfait achèvement par l'examen des ouvrages et éléments d'équipement ayant été soumis au contrôle et qui font l'objet de travaux effectués pendant la période de garantie de parfait achèvement.</w:t>
      </w:r>
    </w:p>
    <w:p w:rsidR="00015A4F" w:rsidRPr="00752C7F" w:rsidRDefault="00015A4F" w:rsidP="00C061B2">
      <w:pPr>
        <w:rPr>
          <w:color w:val="000000" w:themeColor="text1"/>
        </w:rPr>
      </w:pPr>
    </w:p>
    <w:p w:rsidR="00C061B2" w:rsidRPr="00752C7F" w:rsidRDefault="00C061B2" w:rsidP="00015A4F">
      <w:pPr>
        <w:pStyle w:val="Style1"/>
        <w:rPr>
          <w:color w:val="000000" w:themeColor="text1"/>
        </w:rPr>
      </w:pPr>
      <w:r w:rsidRPr="00752C7F">
        <w:rPr>
          <w:color w:val="000000" w:themeColor="text1"/>
        </w:rPr>
        <w:t xml:space="preserve">Les responsabilités du CT : </w:t>
      </w:r>
    </w:p>
    <w:p w:rsidR="00C061B2" w:rsidRPr="00752C7F" w:rsidRDefault="00C061B2" w:rsidP="00C061B2">
      <w:pPr>
        <w:autoSpaceDE w:val="0"/>
        <w:autoSpaceDN w:val="0"/>
        <w:rPr>
          <w:rFonts w:ascii="Calibri" w:hAnsi="Calibri"/>
          <w:color w:val="000000" w:themeColor="text1"/>
        </w:rPr>
      </w:pPr>
      <w:r w:rsidRPr="00752C7F">
        <w:rPr>
          <w:rFonts w:ascii="Calibri" w:hAnsi="Calibri"/>
          <w:color w:val="000000" w:themeColor="text1"/>
        </w:rPr>
        <w:t xml:space="preserve">Le contrôleur technique est soumis, </w:t>
      </w:r>
      <w:r w:rsidRPr="00752C7F">
        <w:rPr>
          <w:rFonts w:ascii="Calibri" w:hAnsi="Calibri"/>
          <w:color w:val="000000" w:themeColor="text1"/>
          <w:u w:val="single"/>
        </w:rPr>
        <w:t>dans la limite de la mission que lui a confiée le maître d’ouvrage</w:t>
      </w:r>
      <w:r w:rsidRPr="00752C7F">
        <w:rPr>
          <w:rFonts w:ascii="Calibri" w:hAnsi="Calibri"/>
          <w:color w:val="000000" w:themeColor="text1"/>
        </w:rPr>
        <w:t xml:space="preserve">, à la présomption de responsabilité édictée par les articles 1792, 1792-1 et 1792-2 du Code civil. </w:t>
      </w:r>
    </w:p>
    <w:p w:rsidR="00C623A1" w:rsidRPr="00752C7F" w:rsidRDefault="00C623A1" w:rsidP="00C623A1">
      <w:pPr>
        <w:autoSpaceDE w:val="0"/>
        <w:autoSpaceDN w:val="0"/>
        <w:adjustRightInd w:val="0"/>
        <w:spacing w:after="0"/>
        <w:rPr>
          <w:rFonts w:asciiTheme="minorHAnsi" w:eastAsia="Times New Roman" w:hAnsiTheme="minorHAnsi" w:cstheme="minorHAnsi"/>
          <w:color w:val="000000" w:themeColor="text1"/>
          <w:szCs w:val="20"/>
          <w:lang w:eastAsia="fr-FR"/>
        </w:rPr>
      </w:pPr>
    </w:p>
    <w:p w:rsidR="00C623A1" w:rsidRPr="00752C7F" w:rsidRDefault="00C623A1" w:rsidP="00C623A1">
      <w:pPr>
        <w:autoSpaceDE w:val="0"/>
        <w:autoSpaceDN w:val="0"/>
        <w:adjustRightInd w:val="0"/>
        <w:spacing w:after="0"/>
        <w:rPr>
          <w:rFonts w:asciiTheme="minorHAnsi" w:eastAsia="Times New Roman" w:hAnsiTheme="minorHAnsi" w:cstheme="minorHAnsi"/>
          <w:color w:val="000000" w:themeColor="text1"/>
          <w:szCs w:val="20"/>
          <w:lang w:eastAsia="fr-FR"/>
        </w:rPr>
      </w:pPr>
    </w:p>
    <w:p w:rsidR="00C623A1" w:rsidRPr="00752C7F" w:rsidRDefault="00C623A1" w:rsidP="00C623A1">
      <w:pPr>
        <w:autoSpaceDE w:val="0"/>
        <w:autoSpaceDN w:val="0"/>
        <w:adjustRightInd w:val="0"/>
        <w:spacing w:after="0"/>
        <w:rPr>
          <w:rFonts w:asciiTheme="minorHAnsi" w:eastAsia="Times New Roman" w:hAnsiTheme="minorHAnsi" w:cstheme="minorHAnsi"/>
          <w:color w:val="000000" w:themeColor="text1"/>
          <w:szCs w:val="20"/>
          <w:lang w:eastAsia="fr-FR"/>
        </w:rPr>
      </w:pPr>
    </w:p>
    <w:p w:rsidR="00C623A1" w:rsidRPr="00752C7F" w:rsidRDefault="00C623A1" w:rsidP="00C623A1">
      <w:pPr>
        <w:autoSpaceDE w:val="0"/>
        <w:autoSpaceDN w:val="0"/>
        <w:adjustRightInd w:val="0"/>
        <w:spacing w:after="0"/>
        <w:rPr>
          <w:rFonts w:asciiTheme="minorHAnsi" w:eastAsia="Times New Roman" w:hAnsiTheme="minorHAnsi" w:cstheme="minorHAnsi"/>
          <w:color w:val="000000" w:themeColor="text1"/>
          <w:szCs w:val="20"/>
          <w:lang w:eastAsia="fr-FR"/>
        </w:rPr>
      </w:pPr>
    </w:p>
    <w:p w:rsidR="00C623A1" w:rsidRPr="00752C7F" w:rsidRDefault="00C623A1" w:rsidP="00C623A1">
      <w:pPr>
        <w:autoSpaceDE w:val="0"/>
        <w:autoSpaceDN w:val="0"/>
        <w:adjustRightInd w:val="0"/>
        <w:spacing w:after="0"/>
        <w:rPr>
          <w:rFonts w:asciiTheme="minorHAnsi" w:eastAsia="Times New Roman" w:hAnsiTheme="minorHAnsi" w:cstheme="minorHAnsi"/>
          <w:color w:val="000000" w:themeColor="text1"/>
          <w:szCs w:val="20"/>
          <w:lang w:eastAsia="fr-FR"/>
        </w:rPr>
      </w:pPr>
    </w:p>
    <w:p w:rsidR="00C623A1" w:rsidRPr="00752C7F" w:rsidRDefault="00C623A1" w:rsidP="00C623A1">
      <w:pPr>
        <w:autoSpaceDE w:val="0"/>
        <w:autoSpaceDN w:val="0"/>
        <w:adjustRightInd w:val="0"/>
        <w:spacing w:after="0"/>
        <w:rPr>
          <w:rFonts w:asciiTheme="minorHAnsi" w:eastAsia="Times New Roman" w:hAnsiTheme="minorHAnsi" w:cstheme="minorHAnsi"/>
          <w:color w:val="000000" w:themeColor="text1"/>
          <w:szCs w:val="20"/>
          <w:lang w:eastAsia="fr-FR"/>
        </w:rPr>
      </w:pPr>
    </w:p>
    <w:p w:rsidR="00BE1393" w:rsidRPr="00752C7F" w:rsidRDefault="00530965">
      <w:pPr>
        <w:rPr>
          <w:color w:val="000000" w:themeColor="text1"/>
        </w:rPr>
      </w:pPr>
    </w:p>
    <w:sectPr w:rsidR="00BE1393" w:rsidRPr="00752C7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LT Std 55">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New Roman (Corps CS)">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B2251"/>
    <w:multiLevelType w:val="multilevel"/>
    <w:tmpl w:val="B016C61E"/>
    <w:numStyleLink w:val="Maliste"/>
  </w:abstractNum>
  <w:abstractNum w:abstractNumId="1" w15:restartNumberingAfterBreak="0">
    <w:nsid w:val="0CFD7DAE"/>
    <w:multiLevelType w:val="hybridMultilevel"/>
    <w:tmpl w:val="988E1C0C"/>
    <w:lvl w:ilvl="0" w:tplc="F36AC25A">
      <w:start w:val="3"/>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49A4FC4"/>
    <w:multiLevelType w:val="multilevel"/>
    <w:tmpl w:val="DCA667EC"/>
    <w:lvl w:ilvl="0">
      <w:start w:val="1"/>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3" w15:restartNumberingAfterBreak="0">
    <w:nsid w:val="568E44BD"/>
    <w:multiLevelType w:val="hybridMultilevel"/>
    <w:tmpl w:val="A7D8AF30"/>
    <w:lvl w:ilvl="0" w:tplc="9EE685F6">
      <w:start w:val="1"/>
      <w:numFmt w:val="decimal"/>
      <w:pStyle w:val="Styl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94C09E6"/>
    <w:multiLevelType w:val="multilevel"/>
    <w:tmpl w:val="B016C61E"/>
    <w:name w:val="ma liste"/>
    <w:styleLink w:val="Maliste"/>
    <w:lvl w:ilvl="0">
      <w:start w:val="1"/>
      <w:numFmt w:val="upperRoman"/>
      <w:lvlText w:val="ARTICLE %1"/>
      <w:lvlJc w:val="left"/>
      <w:pPr>
        <w:ind w:left="360" w:hanging="360"/>
      </w:pPr>
      <w:rPr>
        <w:rFonts w:ascii="Calibri" w:hAnsi="Calibri" w:hint="default"/>
      </w:rPr>
    </w:lvl>
    <w:lvl w:ilvl="1">
      <w:start w:val="1"/>
      <w:numFmt w:val="decimal"/>
      <w:lvlText w:val="%1.%2"/>
      <w:lvlJc w:val="left"/>
      <w:pPr>
        <w:ind w:left="644" w:hanging="360"/>
      </w:pPr>
      <w:rPr>
        <w:rFonts w:hint="default"/>
      </w:rPr>
    </w:lvl>
    <w:lvl w:ilvl="2">
      <w:start w:val="1"/>
      <w:numFmt w:val="decimal"/>
      <w:pStyle w:val="Titre3"/>
      <w:lvlText w:val="%1.%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6CF30679"/>
    <w:multiLevelType w:val="hybridMultilevel"/>
    <w:tmpl w:val="8D0EBF04"/>
    <w:lvl w:ilvl="0" w:tplc="040C0001">
      <w:start w:val="1"/>
      <w:numFmt w:val="bullet"/>
      <w:lvlText w:val=""/>
      <w:lvlJc w:val="left"/>
      <w:pPr>
        <w:ind w:left="864" w:hanging="360"/>
      </w:pPr>
      <w:rPr>
        <w:rFonts w:ascii="Symbol" w:hAnsi="Symbol" w:hint="default"/>
      </w:rPr>
    </w:lvl>
    <w:lvl w:ilvl="1" w:tplc="040C0003" w:tentative="1">
      <w:start w:val="1"/>
      <w:numFmt w:val="bullet"/>
      <w:lvlText w:val="o"/>
      <w:lvlJc w:val="left"/>
      <w:pPr>
        <w:ind w:left="1584" w:hanging="360"/>
      </w:pPr>
      <w:rPr>
        <w:rFonts w:ascii="Courier New" w:hAnsi="Courier New" w:cs="Courier New" w:hint="default"/>
      </w:rPr>
    </w:lvl>
    <w:lvl w:ilvl="2" w:tplc="040C0005" w:tentative="1">
      <w:start w:val="1"/>
      <w:numFmt w:val="bullet"/>
      <w:lvlText w:val=""/>
      <w:lvlJc w:val="left"/>
      <w:pPr>
        <w:ind w:left="2304" w:hanging="360"/>
      </w:pPr>
      <w:rPr>
        <w:rFonts w:ascii="Wingdings" w:hAnsi="Wingdings" w:hint="default"/>
      </w:rPr>
    </w:lvl>
    <w:lvl w:ilvl="3" w:tplc="040C0001" w:tentative="1">
      <w:start w:val="1"/>
      <w:numFmt w:val="bullet"/>
      <w:lvlText w:val=""/>
      <w:lvlJc w:val="left"/>
      <w:pPr>
        <w:ind w:left="3024" w:hanging="360"/>
      </w:pPr>
      <w:rPr>
        <w:rFonts w:ascii="Symbol" w:hAnsi="Symbol" w:hint="default"/>
      </w:rPr>
    </w:lvl>
    <w:lvl w:ilvl="4" w:tplc="040C0003" w:tentative="1">
      <w:start w:val="1"/>
      <w:numFmt w:val="bullet"/>
      <w:lvlText w:val="o"/>
      <w:lvlJc w:val="left"/>
      <w:pPr>
        <w:ind w:left="3744" w:hanging="360"/>
      </w:pPr>
      <w:rPr>
        <w:rFonts w:ascii="Courier New" w:hAnsi="Courier New" w:cs="Courier New" w:hint="default"/>
      </w:rPr>
    </w:lvl>
    <w:lvl w:ilvl="5" w:tplc="040C0005" w:tentative="1">
      <w:start w:val="1"/>
      <w:numFmt w:val="bullet"/>
      <w:lvlText w:val=""/>
      <w:lvlJc w:val="left"/>
      <w:pPr>
        <w:ind w:left="4464" w:hanging="360"/>
      </w:pPr>
      <w:rPr>
        <w:rFonts w:ascii="Wingdings" w:hAnsi="Wingdings" w:hint="default"/>
      </w:rPr>
    </w:lvl>
    <w:lvl w:ilvl="6" w:tplc="040C0001" w:tentative="1">
      <w:start w:val="1"/>
      <w:numFmt w:val="bullet"/>
      <w:lvlText w:val=""/>
      <w:lvlJc w:val="left"/>
      <w:pPr>
        <w:ind w:left="5184" w:hanging="360"/>
      </w:pPr>
      <w:rPr>
        <w:rFonts w:ascii="Symbol" w:hAnsi="Symbol" w:hint="default"/>
      </w:rPr>
    </w:lvl>
    <w:lvl w:ilvl="7" w:tplc="040C0003" w:tentative="1">
      <w:start w:val="1"/>
      <w:numFmt w:val="bullet"/>
      <w:lvlText w:val="o"/>
      <w:lvlJc w:val="left"/>
      <w:pPr>
        <w:ind w:left="5904" w:hanging="360"/>
      </w:pPr>
      <w:rPr>
        <w:rFonts w:ascii="Courier New" w:hAnsi="Courier New" w:cs="Courier New" w:hint="default"/>
      </w:rPr>
    </w:lvl>
    <w:lvl w:ilvl="8" w:tplc="040C0005" w:tentative="1">
      <w:start w:val="1"/>
      <w:numFmt w:val="bullet"/>
      <w:lvlText w:val=""/>
      <w:lvlJc w:val="left"/>
      <w:pPr>
        <w:ind w:left="6624" w:hanging="360"/>
      </w:pPr>
      <w:rPr>
        <w:rFonts w:ascii="Wingdings" w:hAnsi="Wingdings" w:hint="default"/>
      </w:rPr>
    </w:lvl>
  </w:abstractNum>
  <w:abstractNum w:abstractNumId="6" w15:restartNumberingAfterBreak="0">
    <w:nsid w:val="6EDF3C36"/>
    <w:multiLevelType w:val="hybridMultilevel"/>
    <w:tmpl w:val="2A3EDA3C"/>
    <w:lvl w:ilvl="0" w:tplc="040C0001">
      <w:start w:val="1"/>
      <w:numFmt w:val="bullet"/>
      <w:lvlText w:val=""/>
      <w:lvlJc w:val="left"/>
      <w:pPr>
        <w:ind w:left="1060" w:hanging="360"/>
      </w:pPr>
      <w:rPr>
        <w:rFonts w:ascii="Symbol" w:hAnsi="Symbol"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7" w15:restartNumberingAfterBreak="0">
    <w:nsid w:val="7F290C14"/>
    <w:multiLevelType w:val="hybridMultilevel"/>
    <w:tmpl w:val="35C63538"/>
    <w:lvl w:ilvl="0" w:tplc="6BC84CDE">
      <w:start w:val="1"/>
      <w:numFmt w:val="bullet"/>
      <w:lvlText w:val="•"/>
      <w:lvlJc w:val="left"/>
      <w:pPr>
        <w:tabs>
          <w:tab w:val="num" w:pos="2345"/>
        </w:tabs>
        <w:ind w:left="2345" w:hanging="360"/>
      </w:pPr>
      <w:rPr>
        <w:rFonts w:ascii="Arial" w:hAnsi="Arial" w:hint="default"/>
      </w:rPr>
    </w:lvl>
    <w:lvl w:ilvl="1" w:tplc="040C0003">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6"/>
  </w:num>
  <w:num w:numId="5">
    <w:abstractNumId w:val="5"/>
  </w:num>
  <w:num w:numId="6">
    <w:abstractNumId w:val="2"/>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3A1"/>
    <w:rsid w:val="00015A4F"/>
    <w:rsid w:val="00054BDB"/>
    <w:rsid w:val="0019596B"/>
    <w:rsid w:val="00251D8E"/>
    <w:rsid w:val="00347605"/>
    <w:rsid w:val="003D7499"/>
    <w:rsid w:val="003F5701"/>
    <w:rsid w:val="004B16FB"/>
    <w:rsid w:val="00530965"/>
    <w:rsid w:val="00632C7C"/>
    <w:rsid w:val="00677549"/>
    <w:rsid w:val="0068127E"/>
    <w:rsid w:val="00752C7F"/>
    <w:rsid w:val="007B7203"/>
    <w:rsid w:val="00BD0206"/>
    <w:rsid w:val="00C061B2"/>
    <w:rsid w:val="00C41561"/>
    <w:rsid w:val="00C623A1"/>
    <w:rsid w:val="00FB7A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D0F33"/>
  <w15:chartTrackingRefBased/>
  <w15:docId w15:val="{9A72B9C9-EB5E-42B2-A8BC-787DE7A3B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3A1"/>
    <w:pPr>
      <w:spacing w:after="120" w:line="240" w:lineRule="auto"/>
      <w:jc w:val="both"/>
    </w:pPr>
    <w:rPr>
      <w:rFonts w:ascii="Univers LT Std 55" w:hAnsi="Univers LT Std 55"/>
      <w:sz w:val="20"/>
    </w:rPr>
  </w:style>
  <w:style w:type="paragraph" w:styleId="Titre2">
    <w:name w:val="heading 2"/>
    <w:aliases w:val="CHAP2,MODRAP,M-Titre 2,T2,altb,A,Titre 2=T2,Titre 2=T21,2,E2,Titre 2 Car Car Car Car Car Car Car Car Car Car"/>
    <w:basedOn w:val="Normal"/>
    <w:next w:val="Normal"/>
    <w:link w:val="Titre2Car"/>
    <w:uiPriority w:val="9"/>
    <w:unhideWhenUsed/>
    <w:qFormat/>
    <w:rsid w:val="00C623A1"/>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itre3">
    <w:name w:val="heading 3"/>
    <w:aliases w:val="Titre a,numéroté  1.1.1,Titre3,H3,H31,2h,l3,subhead 2,CT,h3,3rd level,CHAP3,M-Titre 3,altm,Sous Titre,Titre 3=T3,Titre 3=T31,5,E3"/>
    <w:basedOn w:val="Normal"/>
    <w:next w:val="Normal"/>
    <w:link w:val="Titre3Car"/>
    <w:uiPriority w:val="9"/>
    <w:unhideWhenUsed/>
    <w:qFormat/>
    <w:rsid w:val="00C623A1"/>
    <w:pPr>
      <w:keepNext/>
      <w:keepLines/>
      <w:numPr>
        <w:ilvl w:val="2"/>
        <w:numId w:val="2"/>
      </w:numPr>
      <w:spacing w:before="200" w:after="0"/>
      <w:outlineLvl w:val="2"/>
    </w:pPr>
    <w:rPr>
      <w:rFonts w:asciiTheme="majorHAnsi" w:eastAsiaTheme="majorEastAsia" w:hAnsiTheme="majorHAnsi" w:cstheme="majorBidi"/>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CHAP2 Car,MODRAP Car,M-Titre 2 Car,T2 Car,altb Car,A Car,Titre 2=T2 Car,Titre 2=T21 Car,2 Car,E2 Car,Titre 2 Car Car Car Car Car Car Car Car Car Car Car"/>
    <w:basedOn w:val="Policepardfaut"/>
    <w:link w:val="Titre2"/>
    <w:uiPriority w:val="9"/>
    <w:rsid w:val="00C623A1"/>
    <w:rPr>
      <w:rFonts w:asciiTheme="majorHAnsi" w:eastAsiaTheme="majorEastAsia" w:hAnsiTheme="majorHAnsi" w:cstheme="majorBidi"/>
      <w:b/>
      <w:bCs/>
      <w:color w:val="5B9BD5" w:themeColor="accent1"/>
      <w:sz w:val="26"/>
      <w:szCs w:val="26"/>
    </w:rPr>
  </w:style>
  <w:style w:type="character" w:customStyle="1" w:styleId="Titre3Car">
    <w:name w:val="Titre 3 Car"/>
    <w:aliases w:val="Titre a Car,numéroté  1.1.1 Car,Titre3 Car,H3 Car,H31 Car,2h Car,l3 Car,subhead 2 Car,CT Car,h3 Car,3rd level Car,CHAP3 Car,M-Titre 3 Car,altm Car,Sous Titre Car,Titre 3=T3 Car,Titre 3=T31 Car,5 Car,E3 Car"/>
    <w:basedOn w:val="Policepardfaut"/>
    <w:link w:val="Titre3"/>
    <w:uiPriority w:val="9"/>
    <w:rsid w:val="00C623A1"/>
    <w:rPr>
      <w:rFonts w:asciiTheme="majorHAnsi" w:eastAsiaTheme="majorEastAsia" w:hAnsiTheme="majorHAnsi" w:cstheme="majorBidi"/>
      <w:b/>
      <w:bCs/>
      <w:sz w:val="20"/>
    </w:rPr>
  </w:style>
  <w:style w:type="numbering" w:customStyle="1" w:styleId="Maliste">
    <w:name w:val="Ma liste"/>
    <w:uiPriority w:val="99"/>
    <w:rsid w:val="00C623A1"/>
    <w:pPr>
      <w:numPr>
        <w:numId w:val="1"/>
      </w:numPr>
    </w:pPr>
  </w:style>
  <w:style w:type="paragraph" w:customStyle="1" w:styleId="TITRE">
    <w:name w:val="TITRE"/>
    <w:basedOn w:val="Normal"/>
    <w:rsid w:val="00C623A1"/>
    <w:pPr>
      <w:pBdr>
        <w:top w:val="single" w:sz="12" w:space="1" w:color="C0C0C0"/>
        <w:left w:val="single" w:sz="12" w:space="1" w:color="C0C0C0"/>
        <w:bottom w:val="single" w:sz="12" w:space="1" w:color="C0C0C0"/>
        <w:right w:val="single" w:sz="12" w:space="1" w:color="C0C0C0"/>
      </w:pBdr>
      <w:overflowPunct w:val="0"/>
      <w:autoSpaceDE w:val="0"/>
      <w:autoSpaceDN w:val="0"/>
      <w:adjustRightInd w:val="0"/>
      <w:spacing w:after="0"/>
      <w:ind w:left="-1134"/>
      <w:jc w:val="center"/>
      <w:textAlignment w:val="baseline"/>
    </w:pPr>
    <w:rPr>
      <w:rFonts w:ascii="Helvetica" w:eastAsia="Times New Roman" w:hAnsi="Helvetica" w:cs="Times New Roman"/>
      <w:b/>
      <w:caps/>
      <w:szCs w:val="20"/>
      <w:lang w:eastAsia="fr-FR"/>
    </w:rPr>
  </w:style>
  <w:style w:type="paragraph" w:styleId="Titre0">
    <w:name w:val="Title"/>
    <w:basedOn w:val="Normal"/>
    <w:next w:val="Normal"/>
    <w:link w:val="TitreCar"/>
    <w:uiPriority w:val="10"/>
    <w:qFormat/>
    <w:rsid w:val="00C623A1"/>
    <w:pPr>
      <w:spacing w:after="0"/>
      <w:contextualSpacing/>
    </w:pPr>
    <w:rPr>
      <w:rFonts w:ascii="Calibri" w:eastAsiaTheme="majorEastAsia" w:hAnsi="Calibri" w:cstheme="majorBidi"/>
      <w:b/>
      <w:caps/>
      <w:spacing w:val="-10"/>
      <w:kern w:val="28"/>
      <w:szCs w:val="56"/>
    </w:rPr>
  </w:style>
  <w:style w:type="character" w:customStyle="1" w:styleId="TitreCar">
    <w:name w:val="Titre Car"/>
    <w:basedOn w:val="Policepardfaut"/>
    <w:link w:val="Titre0"/>
    <w:uiPriority w:val="10"/>
    <w:rsid w:val="00C623A1"/>
    <w:rPr>
      <w:rFonts w:ascii="Calibri" w:eastAsiaTheme="majorEastAsia" w:hAnsi="Calibri" w:cstheme="majorBidi"/>
      <w:b/>
      <w:caps/>
      <w:spacing w:val="-10"/>
      <w:kern w:val="28"/>
      <w:sz w:val="20"/>
      <w:szCs w:val="56"/>
    </w:rPr>
  </w:style>
  <w:style w:type="paragraph" w:styleId="Paragraphedeliste">
    <w:name w:val="List Paragraph"/>
    <w:basedOn w:val="Normal"/>
    <w:uiPriority w:val="34"/>
    <w:qFormat/>
    <w:rsid w:val="00C623A1"/>
    <w:pPr>
      <w:ind w:left="720"/>
      <w:contextualSpacing/>
    </w:pPr>
  </w:style>
  <w:style w:type="paragraph" w:customStyle="1" w:styleId="Style1">
    <w:name w:val="Style1"/>
    <w:basedOn w:val="Normal"/>
    <w:link w:val="Style1Car"/>
    <w:qFormat/>
    <w:rsid w:val="004B16FB"/>
    <w:pPr>
      <w:numPr>
        <w:numId w:val="8"/>
      </w:numPr>
    </w:pPr>
    <w:rPr>
      <w:rFonts w:ascii="Calibri" w:hAnsi="Calibri"/>
      <w:b/>
    </w:rPr>
  </w:style>
  <w:style w:type="character" w:customStyle="1" w:styleId="Style1Car">
    <w:name w:val="Style1 Car"/>
    <w:basedOn w:val="Policepardfaut"/>
    <w:link w:val="Style1"/>
    <w:rsid w:val="004B16FB"/>
    <w:rPr>
      <w:rFonts w:ascii="Calibri" w:hAnsi="Calibri"/>
      <w:b/>
      <w:sz w:val="20"/>
    </w:rPr>
  </w:style>
  <w:style w:type="paragraph" w:customStyle="1" w:styleId="TITREDOCUMENT">
    <w:name w:val="TITRE DOCUMENT"/>
    <w:next w:val="ATextecourant"/>
    <w:qFormat/>
    <w:rsid w:val="00251D8E"/>
    <w:pPr>
      <w:spacing w:after="0" w:line="240" w:lineRule="auto"/>
    </w:pPr>
    <w:rPr>
      <w:rFonts w:cs="Times New Roman (Corps CS)"/>
      <w:b/>
      <w:caps/>
      <w:spacing w:val="-1"/>
      <w:sz w:val="36"/>
      <w:szCs w:val="36"/>
    </w:rPr>
  </w:style>
  <w:style w:type="table" w:styleId="Grilledutableau">
    <w:name w:val="Table Grid"/>
    <w:basedOn w:val="TableauNormal"/>
    <w:uiPriority w:val="39"/>
    <w:rsid w:val="00251D8E"/>
    <w:pPr>
      <w:spacing w:after="0" w:line="240" w:lineRule="auto"/>
    </w:pPr>
    <w:rPr>
      <w:spacing w:val="-1"/>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xtecourant">
    <w:name w:val="A.Texte courant"/>
    <w:qFormat/>
    <w:rsid w:val="00251D8E"/>
    <w:pPr>
      <w:spacing w:after="0" w:line="240" w:lineRule="auto"/>
    </w:pPr>
    <w:rPr>
      <w:rFonts w:cs="Times New Roman (Corps CS)"/>
      <w:spacing w:val="-1"/>
      <w:sz w:val="20"/>
    </w:rPr>
  </w:style>
  <w:style w:type="paragraph" w:styleId="Retraitcorpsdetexte2">
    <w:name w:val="Body Text Indent 2"/>
    <w:basedOn w:val="Normal"/>
    <w:link w:val="Retraitcorpsdetexte2Car"/>
    <w:uiPriority w:val="99"/>
    <w:unhideWhenUsed/>
    <w:rsid w:val="00251D8E"/>
    <w:pPr>
      <w:pBdr>
        <w:top w:val="single" w:sz="4" w:space="0" w:color="C0C0C0"/>
        <w:left w:val="single" w:sz="4" w:space="0" w:color="C0C0C0"/>
        <w:bottom w:val="single" w:sz="4" w:space="0" w:color="C0C0C0"/>
        <w:right w:val="single" w:sz="4" w:space="0" w:color="C0C0C0"/>
      </w:pBdr>
      <w:spacing w:after="160" w:line="359" w:lineRule="auto"/>
      <w:ind w:left="677" w:hanging="10"/>
      <w:jc w:val="center"/>
    </w:pPr>
    <w:rPr>
      <w:rFonts w:ascii="Arial" w:eastAsia="Calibri" w:hAnsi="Arial" w:cs="Arial"/>
      <w:b/>
      <w:color w:val="000000"/>
      <w:sz w:val="32"/>
    </w:rPr>
  </w:style>
  <w:style w:type="character" w:customStyle="1" w:styleId="Retraitcorpsdetexte2Car">
    <w:name w:val="Retrait corps de texte 2 Car"/>
    <w:basedOn w:val="Policepardfaut"/>
    <w:link w:val="Retraitcorpsdetexte2"/>
    <w:uiPriority w:val="99"/>
    <w:rsid w:val="00251D8E"/>
    <w:rPr>
      <w:rFonts w:ascii="Arial" w:eastAsia="Calibri" w:hAnsi="Arial" w:cs="Arial"/>
      <w:b/>
      <w:color w:val="00000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885</Words>
  <Characters>4870</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CASTAIN Helene</dc:creator>
  <cp:keywords/>
  <dc:description/>
  <cp:lastModifiedBy>CASTAIN Helene</cp:lastModifiedBy>
  <cp:revision>8</cp:revision>
  <dcterms:created xsi:type="dcterms:W3CDTF">2025-03-03T14:40:00Z</dcterms:created>
  <dcterms:modified xsi:type="dcterms:W3CDTF">2025-09-26T15:37:00Z</dcterms:modified>
</cp:coreProperties>
</file>